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338F" w14:textId="77777777" w:rsidR="00481C36" w:rsidRDefault="00000000">
      <w:pPr>
        <w:ind w:left="1440"/>
        <w:jc w:val="center"/>
      </w:pP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İçeriği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</w:p>
    <w:tbl>
      <w:tblPr>
        <w:tblStyle w:val="a"/>
        <w:tblW w:w="9345" w:type="dxa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481C36" w14:paraId="52398341" w14:textId="77777777" w:rsidTr="00A226EF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EFAE63E" w14:textId="77777777" w:rsidR="00481C36" w:rsidRDefault="00000000">
            <w:pPr>
              <w:tabs>
                <w:tab w:val="center" w:pos="1249"/>
              </w:tabs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FA493" w14:textId="77777777" w:rsidR="00481C36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seçenekleri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krediler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borçlar</w:t>
            </w:r>
            <w:proofErr w:type="spellEnd"/>
          </w:p>
        </w:tc>
      </w:tr>
      <w:tr w:rsidR="00481C36" w14:paraId="47BD8BBA" w14:textId="77777777" w:rsidTr="00A226EF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36D2504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1BA1C" w14:textId="77777777" w:rsidR="00481C36" w:rsidRDefault="0000000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unsurlar</w:t>
            </w:r>
            <w:proofErr w:type="spellEnd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44061"/>
                <w:sz w:val="24"/>
                <w:szCs w:val="24"/>
              </w:rPr>
              <w:t>modaliteler</w:t>
            </w:r>
            <w:proofErr w:type="spellEnd"/>
          </w:p>
        </w:tc>
      </w:tr>
      <w:tr w:rsidR="00481C36" w14:paraId="1C103830" w14:textId="77777777" w:rsidTr="00A226EF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DA64A51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Geliştiren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Taraf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DE6E7" w14:textId="77777777" w:rsidR="00481C36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481C36" w14:paraId="6981C0D9" w14:textId="77777777" w:rsidTr="00A226EF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5483E1D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3AC9D" w14:textId="77777777" w:rsidR="00481C36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Türkçe</w:t>
            </w:r>
            <w:proofErr w:type="spellEnd"/>
          </w:p>
        </w:tc>
      </w:tr>
      <w:tr w:rsidR="00481C36" w14:paraId="23A4315F" w14:textId="77777777" w:rsidTr="00A226E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1D03F6A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Hedefler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DA5A5" w14:textId="77777777" w:rsidR="00481C3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okuryazarlığı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5686025" w14:textId="77777777" w:rsidR="00481C3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anlaşılmasını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kolaylaştırmak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03D1D91" w14:textId="77777777" w:rsidR="00481C36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becerilerini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geliştirmek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81C36" w14:paraId="44184E32" w14:textId="77777777" w:rsidTr="00A226E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D06E05A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9CA8A" w14:textId="77777777" w:rsidR="00481C3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türlerini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tanımlamak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D3BF510" w14:textId="77777777" w:rsidR="00481C3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unsurları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tanımak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03533FC" w14:textId="77777777" w:rsidR="00481C3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farkı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81C36" w14:paraId="563F05D2" w14:textId="77777777" w:rsidTr="00A226EF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737CB38C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Alanı</w:t>
            </w:r>
            <w:proofErr w:type="spellEnd"/>
          </w:p>
          <w:p w14:paraId="1200E478" w14:textId="77777777" w:rsidR="00481C36" w:rsidRDefault="00481C36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8491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A6F989F" w14:textId="77777777" w:rsidR="00481C36" w:rsidRDefault="00481C3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1C36" w14:paraId="6A787817" w14:textId="77777777" w:rsidTr="00A226EF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ACF1F02" w14:textId="77777777" w:rsidR="00481C36" w:rsidRDefault="00481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561C7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Yönetim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8E4BECD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481C36" w14:paraId="327B4520" w14:textId="77777777" w:rsidTr="00A226EF">
        <w:trPr>
          <w:trHeight w:val="377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AA3FE59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indeksi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156B3" w14:textId="77777777" w:rsidR="00481C36" w:rsidRDefault="00481C36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47FDF9" w14:textId="77777777" w:rsidR="00481C3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1E7177F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2: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unsurları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97D150A" w14:textId="77777777" w:rsidR="00481C3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E9CF96D" w14:textId="77777777" w:rsidR="00481C3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modaliteleri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198771" w14:textId="77777777" w:rsidR="00481C36" w:rsidRDefault="00000000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96DC068" w14:textId="77777777" w:rsidR="00481C36" w:rsidRDefault="00000000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6.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kendinize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sormalısınız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481C36" w14:paraId="50F6A861" w14:textId="77777777" w:rsidTr="00A226EF">
        <w:trPr>
          <w:trHeight w:val="12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E17B351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Geliştirme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( En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1500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A56" w14:textId="77777777" w:rsidR="00481C3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</w:p>
          <w:p w14:paraId="76644BE6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olasılıkla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hayatımızın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noktasında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araba,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tadilatlar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gerçekleştirmek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istememiz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0C09B6A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öngörülen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geçtikten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14:paraId="7816D180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resmileştirildiğinde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bilinir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koşulları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taahhüdü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700AD9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5CE2B3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 Emre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XYZ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30.000 €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talebinde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bulunur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XYZ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Emre'nin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30.000 €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Buna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imzalanması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tahsis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71CBE3" w14:textId="77777777" w:rsidR="00481C3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2: 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unsurları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39A79BA8" w14:textId="77777777" w:rsidR="00481C36" w:rsidRDefault="00481C3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0B4DDA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Anapara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Emre'nin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XYZ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bankasından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ettiği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paradır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(30.000 €).</w:t>
            </w:r>
          </w:p>
          <w:p w14:paraId="42B68B86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Faizler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Emre'nin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ödediği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bedeldir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anapara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%5).</w:t>
            </w:r>
          </w:p>
          <w:p w14:paraId="701359BC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Vade: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Anapara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faizin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taraf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beş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).</w:t>
            </w:r>
          </w:p>
          <w:p w14:paraId="31667B22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tarafları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(XYZ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bankası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(Emre).</w:t>
            </w:r>
          </w:p>
          <w:p w14:paraId="438E8851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İşlemlerin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gerçekleştirilmesi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tahsil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tutarın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borçtan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(300 €).  </w:t>
            </w:r>
          </w:p>
          <w:p w14:paraId="4E105169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Belgesel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destek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sözleşmesindeki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içeren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belgeler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.</w:t>
            </w:r>
          </w:p>
          <w:p w14:paraId="630FF5A5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Kefil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borçlunun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olası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temerrütleri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kuruluşuna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varlığı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vermeyi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taahhüt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kişidir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.</w:t>
            </w:r>
          </w:p>
          <w:p w14:paraId="764FA63C" w14:textId="77777777" w:rsidR="00481C3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8A95031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duyduğunuzda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oysa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kerede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2766681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7429F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sözleşmesinde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FD3ACD8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ihtiyacına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tamamını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kullanmayabilirsiniz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69AC791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Faiz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çekilmeyen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1AE6CB23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ödedikçe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aşmadığınız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30BBFCE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bize 3.000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avroluk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 2.600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harcadık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600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ödersek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1.000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14C9FD42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olağan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",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aracılığıyla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058207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5A111A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sözleşmesinde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544EBBA8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başlangıcında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seferde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81F220" w14:textId="77777777" w:rsidR="00481C36" w:rsidRDefault="00000000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 </w:t>
            </w:r>
          </w:p>
          <w:p w14:paraId="73329B26" w14:textId="77777777" w:rsidR="00481C36" w:rsidRDefault="00481C36">
            <w:pP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7705CD" w14:textId="77777777" w:rsidR="00481C3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modaliteleri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</w:p>
          <w:p w14:paraId="2C267333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rağmen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hepsi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bilinen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kategoriye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1E2A64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4D2760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74EC8109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araba,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bilgisayar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döşemek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tatile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yurtdışında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adlandırılırlar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taahhüdüne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dayandırdığı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kefiller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sahiptirler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01F3D71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84E59A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restorasyonunu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amaçlayan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etmezse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A691EB6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CBF6D1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bağlanabildiği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değiştirilemez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referansın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Euribor'un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gelişimine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ekonomik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fırlamasına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44C8B3CD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karma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yöntemi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yıllarında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gelişimine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A68D52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88786E" w14:textId="77777777" w:rsidR="00481C36" w:rsidRDefault="00481C36">
            <w:pPr>
              <w:shd w:val="clear" w:color="auto" w:fill="FFFFFF"/>
              <w:spacing w:after="285"/>
              <w:jc w:val="both"/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</w:pPr>
          </w:p>
          <w:p w14:paraId="5080CE2E" w14:textId="77777777" w:rsidR="00481C36" w:rsidRDefault="00481C36">
            <w:pPr>
              <w:shd w:val="clear" w:color="auto" w:fill="FFFFFF"/>
              <w:spacing w:after="285"/>
              <w:jc w:val="both"/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</w:pPr>
          </w:p>
          <w:p w14:paraId="787299B8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5.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Bankamız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bize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kredi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verdiğinde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bizden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hangi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masrafları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talep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edebilir</w:t>
            </w:r>
            <w:proofErr w:type="spellEnd"/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>?</w:t>
            </w:r>
          </w:p>
          <w:p w14:paraId="5F800DF8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reklamda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işletmenin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belirgin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görünmesi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operasyonun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APR'sine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unutmayın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APR, bize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teklifleri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karşılaştırmamıza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yardımcı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A4D31C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açılış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tapu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kopyasına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ekspertizini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noter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belgesini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zorunda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43C838" w14:textId="77777777" w:rsidR="00481C36" w:rsidRDefault="00481C36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64C729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 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almadan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kendinize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sormalısınız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0396049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başvurmanız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gerektiğinde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kendinize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sorular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42FBC0B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ihtiyacım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var?</w:t>
            </w:r>
          </w:p>
          <w:p w14:paraId="764DBE92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ihtiyacımız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resmileştirilmesinin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dizi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noter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gerektirebileceğini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almalıyız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F94D94F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başvurabilirim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2C615F54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verebilecekleri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sınırlar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maksimum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ekspertiz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%80'i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E92D2C3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her ay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gelirimin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kadarını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kullanabilirim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1AC53FD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hangi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tarihlerde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olduğumuzu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düşüldükten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olağan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gıda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seyahat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yükünü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karşılayabiliyorsa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kapasitesine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B1EDFE2" w14:textId="77777777" w:rsidR="00481C36" w:rsidRDefault="00481C36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7FCC2C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sorular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gibidir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23C8A37B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şimdi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ihtiyacım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biriktirene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bekleyebilir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miyim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33463F2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BEB38F1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9F46352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F931EAC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feragat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fırsat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)?</w:t>
            </w:r>
          </w:p>
          <w:p w14:paraId="7A0C9D2C" w14:textId="77777777" w:rsidR="00481C36" w:rsidRDefault="00000000">
            <w:pP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yapmazsam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481C36" w14:paraId="0E885E7B" w14:textId="77777777" w:rsidTr="00A226EF">
        <w:trPr>
          <w:trHeight w:val="12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1A673C5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terimi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20F0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öngörülen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geçtikten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14:paraId="5E605EE4" w14:textId="77777777" w:rsidR="00481C36" w:rsidRDefault="00481C3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254A83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maksimum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tamamını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kullanmayabilirsiniz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Faiz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çekilmeyen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ödedikçe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aşmadığınız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olağan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",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kolaylığı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aracılığıyla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"dir.</w:t>
            </w:r>
          </w:p>
          <w:p w14:paraId="5BA85CD4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FE17AA" w14:textId="77777777" w:rsidR="00481C36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Borçluluk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eylemidir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Borçluluk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üçüncü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yükümlülükleri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bütünüdür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2DECF1F" w14:textId="77777777" w:rsidR="00481C36" w:rsidRDefault="00481C3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BC7D21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tüketim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araba,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bilgisayar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döşemek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tatile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yurtdışında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adlandırılırlar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taahhüdüne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dayandırdığı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kefiller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sahiptirler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32191C8E" w14:textId="77777777" w:rsidR="00481C36" w:rsidRDefault="00481C3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693B99" w14:textId="77777777" w:rsidR="00481C36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restorasyonunu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amaçlayan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etmezse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1FFF0D" w14:textId="77777777" w:rsidR="00481C36" w:rsidRDefault="00481C3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81C36" w14:paraId="0E87B581" w14:textId="77777777" w:rsidTr="00A226EF">
        <w:trPr>
          <w:trHeight w:val="262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09D5679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Öz-değerlendirme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5DD" w14:textId="77777777" w:rsidR="00481C36" w:rsidRDefault="00481C3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B87B2E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Özel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şahıs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başvurusu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hangisidir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55A8321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.</w:t>
            </w:r>
          </w:p>
          <w:p w14:paraId="6C6566B9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22A9F7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1DF2BCB" w14:textId="77777777" w:rsidR="00481C36" w:rsidRDefault="00481C3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9FD407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4395DCBF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Hiçbir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7425ACF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duyulan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oysa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A2A5B7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c)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işleminde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sözleşmenin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başında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miktarını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seferde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alırsınız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.</w:t>
            </w:r>
          </w:p>
          <w:p w14:paraId="35BC5A9D" w14:textId="77777777" w:rsidR="00481C36" w:rsidRDefault="00481C3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ECF9B3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F341880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teminatı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9CC37C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Teminatı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varlıkları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yapmakla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yükümlü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borçlunun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varlıklarıdır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.</w:t>
            </w:r>
          </w:p>
          <w:p w14:paraId="350455D9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Taşınmaz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teminat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alınmıştır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25E2B98" w14:textId="77777777" w:rsidR="00481C36" w:rsidRDefault="00481C3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BB1DD0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273AC3A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AA2FAA0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faizli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.</w:t>
            </w:r>
          </w:p>
          <w:p w14:paraId="79757F86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BAA28C0" w14:textId="77777777" w:rsidR="00481C36" w:rsidRDefault="00481C3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EA04F9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1CD9946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7E03F3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Faizler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green"/>
              </w:rPr>
              <w:t>.</w:t>
            </w:r>
          </w:p>
          <w:p w14:paraId="286A3BDF" w14:textId="77777777" w:rsidR="00481C36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481C36" w14:paraId="0AF2944C" w14:textId="77777777" w:rsidTr="00A226EF">
        <w:trPr>
          <w:trHeight w:val="121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74AC107" w14:textId="77777777" w:rsidR="00481C36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Kaynakça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EA2" w14:textId="77777777" w:rsidR="00481C3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https://clientebancario.bde.es/</w:t>
              </w:r>
            </w:hyperlink>
          </w:p>
          <w:p w14:paraId="6092F351" w14:textId="77777777" w:rsidR="00481C3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008D5BCC" w14:textId="77777777" w:rsidR="00481C3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4A074DC4" w14:textId="77777777" w:rsidR="00481C36" w:rsidRDefault="00000000">
            <w:pPr>
              <w:numPr>
                <w:ilvl w:val="0"/>
                <w:numId w:val="2"/>
              </w:numPr>
            </w:pPr>
            <w:hyperlink r:id="rId11">
              <w:r>
                <w:rPr>
                  <w:color w:val="0000FF"/>
                  <w:u w:val="single"/>
                </w:rPr>
                <w:t>https://www.investopedia.com/guide-to-financial-literacy-4800530</w:t>
              </w:r>
            </w:hyperlink>
          </w:p>
          <w:p w14:paraId="153F3BF0" w14:textId="77777777" w:rsidR="00481C36" w:rsidRDefault="00000000">
            <w:pPr>
              <w:numPr>
                <w:ilvl w:val="0"/>
                <w:numId w:val="2"/>
              </w:numPr>
              <w:rPr>
                <w:color w:val="000000"/>
              </w:rPr>
            </w:pPr>
            <w:hyperlink r:id="rId12">
              <w:r>
                <w:rPr>
                  <w:color w:val="0000FF"/>
                  <w:u w:val="single"/>
                </w:rPr>
                <w:t>https://economictimes.indiatimes.com/definition</w:t>
              </w:r>
            </w:hyperlink>
          </w:p>
          <w:p w14:paraId="35EB1C10" w14:textId="77777777" w:rsidR="00481C36" w:rsidRDefault="00000000">
            <w:pPr>
              <w:numPr>
                <w:ilvl w:val="0"/>
                <w:numId w:val="2"/>
              </w:numPr>
            </w:pPr>
            <w:hyperlink r:id="rId13">
              <w:r>
                <w:rPr>
                  <w:color w:val="0000FF"/>
                  <w:u w:val="single"/>
                </w:rPr>
                <w:t>https://handsonbanking.org/</w:t>
              </w:r>
            </w:hyperlink>
          </w:p>
          <w:p w14:paraId="17A05C4B" w14:textId="77777777" w:rsidR="00481C36" w:rsidRDefault="00000000">
            <w:pPr>
              <w:numPr>
                <w:ilvl w:val="0"/>
                <w:numId w:val="2"/>
              </w:numPr>
              <w:rPr>
                <w:color w:val="000000"/>
              </w:rPr>
            </w:pPr>
            <w:hyperlink r:id="rId14">
              <w:r>
                <w:rPr>
                  <w:color w:val="0000FF"/>
                  <w:u w:val="single"/>
                </w:rPr>
                <w:t>https://www.rockethq.com/learn</w:t>
              </w:r>
            </w:hyperlink>
          </w:p>
          <w:p w14:paraId="7E0171D9" w14:textId="77777777" w:rsidR="00481C36" w:rsidRDefault="00000000">
            <w:pPr>
              <w:numPr>
                <w:ilvl w:val="0"/>
                <w:numId w:val="2"/>
              </w:numPr>
              <w:spacing w:after="280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t>Financial Guide "Learn how to make better financial decisions" (</w:t>
            </w:r>
            <w:proofErr w:type="spellStart"/>
            <w:r>
              <w:t>Edufinet</w:t>
            </w:r>
            <w:proofErr w:type="spellEnd"/>
            <w:r>
              <w:t>).</w:t>
            </w:r>
          </w:p>
          <w:p w14:paraId="18799269" w14:textId="77777777" w:rsidR="00481C36" w:rsidRDefault="00481C36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2FEC65" w14:textId="77777777" w:rsidR="00481C36" w:rsidRDefault="00481C36">
      <w:pPr>
        <w:shd w:val="clear" w:color="auto" w:fill="FFFFFF"/>
      </w:pPr>
    </w:p>
    <w:sectPr w:rsidR="00481C36">
      <w:headerReference w:type="default" r:id="rId15"/>
      <w:footerReference w:type="default" r:id="rId16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0204" w14:textId="77777777" w:rsidR="00FE7FD4" w:rsidRDefault="00FE7FD4">
      <w:r>
        <w:separator/>
      </w:r>
    </w:p>
  </w:endnote>
  <w:endnote w:type="continuationSeparator" w:id="0">
    <w:p w14:paraId="00E0279B" w14:textId="77777777" w:rsidR="00FE7FD4" w:rsidRDefault="00F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41B" w14:textId="447BD115" w:rsidR="00481C36" w:rsidRPr="00A226EF" w:rsidRDefault="00A226EF" w:rsidP="00A226EF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10E799" wp14:editId="071DE81E">
              <wp:simplePos x="0" y="0"/>
              <wp:positionH relativeFrom="page">
                <wp:posOffset>-13335</wp:posOffset>
              </wp:positionH>
              <wp:positionV relativeFrom="page">
                <wp:posOffset>10068864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4AC46" w14:textId="77777777" w:rsidR="00A226EF" w:rsidRDefault="00A226EF" w:rsidP="00A226EF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351D49E" w14:textId="77777777" w:rsidR="00A226EF" w:rsidRDefault="00A226EF" w:rsidP="00A226EF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65568D69" w14:textId="77777777" w:rsidR="00A226EF" w:rsidRPr="00D1334F" w:rsidRDefault="00A226EF" w:rsidP="00A226EF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0E799" id="Grupo 4" o:spid="_x0000_s1026" style="position:absolute;margin-left:-1.05pt;margin-top:792.8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AfjQoL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2904AC46" w14:textId="77777777" w:rsidR="00A226EF" w:rsidRDefault="00A226EF" w:rsidP="00A226EF">
                      <w:pPr>
                        <w:rPr>
                          <w:sz w:val="14"/>
                        </w:rPr>
                      </w:pPr>
                    </w:p>
                    <w:p w14:paraId="3351D49E" w14:textId="77777777" w:rsidR="00A226EF" w:rsidRDefault="00A226EF" w:rsidP="00A226EF">
                      <w:pPr>
                        <w:rPr>
                          <w:sz w:val="15"/>
                        </w:rPr>
                      </w:pPr>
                    </w:p>
                    <w:p w14:paraId="65568D69" w14:textId="77777777" w:rsidR="00A226EF" w:rsidRPr="00D1334F" w:rsidRDefault="00A226EF" w:rsidP="00A226EF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6F1B" w14:textId="77777777" w:rsidR="00FE7FD4" w:rsidRDefault="00FE7FD4">
      <w:r>
        <w:separator/>
      </w:r>
    </w:p>
  </w:footnote>
  <w:footnote w:type="continuationSeparator" w:id="0">
    <w:p w14:paraId="7C9DE183" w14:textId="77777777" w:rsidR="00FE7FD4" w:rsidRDefault="00F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E03C" w14:textId="77777777" w:rsidR="00481C36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2DCD2C52" wp14:editId="332A0DF2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9F5947" w14:textId="77777777" w:rsidR="00481C36" w:rsidRDefault="00481C36"/>
  <w:p w14:paraId="4E30DFD2" w14:textId="77777777" w:rsidR="00481C36" w:rsidRDefault="00481C36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44074BD6" w14:textId="77777777" w:rsidR="00481C36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66F534B2" w14:textId="77777777" w:rsidR="00481C36" w:rsidRDefault="00481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198"/>
    <w:multiLevelType w:val="multilevel"/>
    <w:tmpl w:val="DA047C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5D6DEB"/>
    <w:multiLevelType w:val="multilevel"/>
    <w:tmpl w:val="4B9AD3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C11171"/>
    <w:multiLevelType w:val="multilevel"/>
    <w:tmpl w:val="96748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82557525">
    <w:abstractNumId w:val="0"/>
  </w:num>
  <w:num w:numId="2" w16cid:durableId="395782961">
    <w:abstractNumId w:val="2"/>
  </w:num>
  <w:num w:numId="3" w16cid:durableId="129213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36"/>
    <w:rsid w:val="00481C36"/>
    <w:rsid w:val="00A226EF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7E62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20"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ebancario.bde.es/" TargetMode="External"/><Relationship Id="rId13" Type="http://schemas.openxmlformats.org/officeDocument/2006/relationships/hyperlink" Target="https://handsonbanking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omictimes.indiatimes.com/defini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vestopedia.com/guide-to-financial-literacy-48005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inanzasparatodos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finet.com/" TargetMode="External"/><Relationship Id="rId14" Type="http://schemas.openxmlformats.org/officeDocument/2006/relationships/hyperlink" Target="https://www.rockethq.com/lear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XJZeDoE/QhQmL0CeciqeUEzWA==">AMUW2mUp8Ag3Kac99a3oerly4joHEb5FDoPxjkcnsUYfjLcmGntqRvsBGDlBJVwV/SyYTDDTHEfmUIA1uOb5t4Z4Dbx3oqaOVUZWThpUl/upOsEAhl48FTs=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2022-11-13T16:47:00Z</dcterms:created>
  <dcterms:modified xsi:type="dcterms:W3CDTF">2023-03-08T15:00:00Z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