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4A4" w14:textId="77777777" w:rsidR="005E1F39" w:rsidRDefault="00000000">
      <w:pPr>
        <w:ind w:left="1440"/>
        <w:jc w:val="center"/>
      </w:pP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Eğitim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Fişi</w:t>
      </w:r>
      <w:proofErr w:type="spellEnd"/>
    </w:p>
    <w:tbl>
      <w:tblPr>
        <w:tblStyle w:val="a"/>
        <w:tblW w:w="934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6546"/>
        <w:gridCol w:w="751"/>
      </w:tblGrid>
      <w:tr w:rsidR="005E1F39" w14:paraId="6CC57A6E" w14:textId="77777777" w:rsidTr="00F708EB">
        <w:trPr>
          <w:trHeight w:val="36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5F3E4F2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2E8B1" w14:textId="77777777" w:rsidR="005E1F39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Yönetimi</w:t>
            </w:r>
            <w:proofErr w:type="spellEnd"/>
          </w:p>
        </w:tc>
      </w:tr>
      <w:tr w:rsidR="005E1F39" w14:paraId="4B3A88B1" w14:textId="77777777" w:rsidTr="00F708EB">
        <w:trPr>
          <w:trHeight w:val="41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EF6CDA3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Sözcükler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BD3D7" w14:textId="77777777" w:rsidR="005E1F39" w:rsidRDefault="0000000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giderler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organize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aile</w:t>
            </w:r>
            <w:proofErr w:type="spellEnd"/>
          </w:p>
        </w:tc>
      </w:tr>
      <w:tr w:rsidR="005E1F39" w14:paraId="2A4C25BF" w14:textId="77777777" w:rsidTr="00F708EB">
        <w:trPr>
          <w:trHeight w:val="4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F9AC0E0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Sağlayıcı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60B4C" w14:textId="77777777" w:rsidR="005E1F39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5E1F39" w14:paraId="085A5469" w14:textId="77777777" w:rsidTr="00F708EB">
        <w:trPr>
          <w:trHeight w:val="42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650E0A3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954C" w14:textId="77777777" w:rsidR="005E1F39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İngilizce</w:t>
            </w:r>
            <w:proofErr w:type="spellEnd"/>
          </w:p>
        </w:tc>
      </w:tr>
      <w:tr w:rsidR="005E1F39" w14:paraId="7604D401" w14:textId="77777777" w:rsidTr="00F708EB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C6504C8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52ED2" w14:textId="77777777" w:rsidR="005E1F3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alışkanlıklarımız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bilgilerle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küresel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vizyon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C91F0AE" w14:textId="77777777" w:rsidR="005E1F3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yapabilme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verebilme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böylece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planlayabilme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5CAF424" w14:textId="77777777" w:rsidR="005E1F39" w:rsidRDefault="005E1F3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F39" w14:paraId="2C4579B3" w14:textId="77777777" w:rsidTr="00F708EB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2461CC8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Öğrenme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Kazanımları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AE638" w14:textId="77777777" w:rsidR="005E1F3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0EEC9B5" w14:textId="77777777" w:rsidR="005E1F3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3BD1D04" w14:textId="77777777" w:rsidR="005E1F3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mümkün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iyi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0EEA75" w14:textId="77777777" w:rsidR="005E1F39" w:rsidRDefault="005E1F3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F39" w14:paraId="771ADDFA" w14:textId="77777777" w:rsidTr="00F708EB">
        <w:trPr>
          <w:trHeight w:val="396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005A90C9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Alanları</w:t>
            </w:r>
            <w:proofErr w:type="spellEnd"/>
          </w:p>
          <w:p w14:paraId="2D7130CF" w14:textId="77777777" w:rsidR="005E1F39" w:rsidRDefault="005E1F3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3B1B" w14:textId="77777777" w:rsidR="005E1F3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Alfabesi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86A7518" w14:textId="77777777" w:rsidR="005E1F39" w:rsidRDefault="005E1F3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F39" w14:paraId="3E4E38F4" w14:textId="77777777" w:rsidTr="00F708EB">
        <w:trPr>
          <w:trHeight w:val="416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CC2ABDE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83ACB" w14:textId="77777777" w:rsidR="005E1F3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Yönetme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5043ABC" w14:textId="77777777" w:rsidR="005E1F39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5E1F39" w14:paraId="2228E419" w14:textId="77777777" w:rsidTr="00F708EB">
        <w:trPr>
          <w:trHeight w:val="408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9EBCFD1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06356" w14:textId="77777777" w:rsidR="005E1F3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Finansı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C3FAEFD" w14:textId="77777777" w:rsidR="005E1F39" w:rsidRDefault="005E1F3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F39" w14:paraId="4EE5318F" w14:textId="77777777" w:rsidTr="00F708EB">
        <w:trPr>
          <w:trHeight w:val="195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5C351CD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Dizimi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DA3A" w14:textId="77777777" w:rsidR="005E1F39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243191C1" w14:textId="77777777" w:rsidR="005E1F39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Hanehalkı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ekonomisindeki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hareketler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1CB152D0" w14:textId="77777777" w:rsidR="005E1F39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hazırlanır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9C2AF4B" w14:textId="77777777" w:rsidR="005E1F39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senaryolar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1CCBBB82" w14:textId="77777777" w:rsidR="005E1F39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İyi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izlenecek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kurallar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E1F39" w14:paraId="3C27324B" w14:textId="77777777" w:rsidTr="00F708EB">
        <w:trPr>
          <w:trHeight w:val="126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9AB11CA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Gelişimi</w:t>
            </w:r>
            <w:proofErr w:type="spellEnd"/>
          </w:p>
          <w:p w14:paraId="42D6603A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(1.500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max.)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75DA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1.-Aile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bütçesi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553EB70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organize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rakamlarla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özetleyen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belgedir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7BE6D9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İyi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alışkanlıkları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küresel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vizyona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noktasına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böylece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planlayabilir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5417C1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Hanehalkı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ekonomisindeki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hareketler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82029F1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hanehalkı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şunlardır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temettüleri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yardımlar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ödenekler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Kısacası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hanehalkı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harcayabileceği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kullanabileceği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temsil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4F5F2CB" w14:textId="77777777" w:rsidR="005E1F39" w:rsidRDefault="005E1F39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703355" w14:textId="77777777" w:rsidR="005E1F39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doğalarına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ayırt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D6E18B3" w14:textId="77777777" w:rsidR="005E1F39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Zorunlu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giderler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durduramadığımız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değiştiremediğimiz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tanıyoruz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Her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topluluk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3B6562F" w14:textId="77777777" w:rsidR="005E1F39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giderler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Zorunlu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değildirler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günlük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hayatımız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gereklidirler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azaltabiliriz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kaldıramayız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Yiyecek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ulaşım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giyim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ılımlı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tüketirsek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püf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noktaları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kullanırsak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azaltılabilirler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enerji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ampuller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ısıtma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sıcaklığını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derece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düşürün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mağazalardaki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251503AC" w14:textId="77777777" w:rsidR="005E1F39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isteğe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harcamalar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olağanüstü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nitelikteki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trafik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cezası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Tıbbi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kaçınılmazdır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azaltılabilir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kaldırılabilir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seyahat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geçerlidir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23A929C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173C33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6D159D" w14:textId="77777777" w:rsidR="005E1F39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tahsilatla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mıdır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Tam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değil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DE324DD" w14:textId="77777777" w:rsidR="005E1F3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para alma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ettiğimizde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dükkan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sattığında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oluşturulur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E0A23CD" w14:textId="77777777" w:rsidR="005E1F3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şirketimiz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işletme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60C506F" w14:textId="77777777" w:rsidR="005E1F3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uğraşıyor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olurduk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1766798" w14:textId="77777777" w:rsidR="005E1F3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çakışmayabilir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tıpkı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71380A" w14:textId="77777777" w:rsidR="005E1F39" w:rsidRDefault="005E1F3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7FC15C" w14:textId="77777777" w:rsidR="005E1F39" w:rsidRDefault="005E1F3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29A536" w14:textId="77777777" w:rsidR="005E1F39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masraf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mıdır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Hayır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38B3EAB3" w14:textId="77777777" w:rsidR="005E1F3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yükümlülüğü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getirildiğinde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93FA5F3" w14:textId="77777777" w:rsidR="005E1F3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fiziksel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teslim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edilmesidir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CE3BB6" w14:textId="77777777" w:rsidR="005E1F3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bütçesindeki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birlikte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cihazın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böylece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çakışmaması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D58631" w14:textId="77777777" w:rsidR="005E1F39" w:rsidRDefault="005E1F3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89CDCF" w14:textId="77777777" w:rsidR="005E1F39" w:rsidRDefault="005E1F3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A94708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3.- 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hazırlanır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2316C6AA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adımlar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D0298C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kalemlerini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hangi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olduğumuzu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hangi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masrafları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karşılamamız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gerektiğini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BD6A5C5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kaynaklarını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listeleyerek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başlıyoruz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emekliler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nafaka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sübvansiyonlar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ekstra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planlarından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unutmayın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4A23C1A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Giderler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hepsi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çıkışıdır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Nerede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durduğunuzu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konuttan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günlük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yaklaşımlarına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harcamalarınızı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Tatiller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hediyeleri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alışverişi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öngörülemeyen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unutmamalısınız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olsun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masraflar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tanımlanmalı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edilmeli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mümkünse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doğalarına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farklılaştırılmalı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böylece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hangisinin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kaldırılması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gerektiğini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incelemek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kolay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E87A80" w14:textId="77777777" w:rsidR="005E1F39" w:rsidRDefault="005E1F39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B05E29" w14:textId="77777777" w:rsidR="005E1F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Revizyona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vergilendirmeye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masrafa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tabi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olmadıklarını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kalemleri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ölçün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bütçelenen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olmayabileceğinden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ayarlamalar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41926AE" w14:textId="77777777" w:rsidR="005E1F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öngörülemeyen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gecikmeler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sürprizleri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3EDCE9B" w14:textId="77777777" w:rsidR="005E1F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edilebilmesi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bölümleri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şablona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tabloya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aktarılması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1BF1A4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11F88C" w14:textId="77777777" w:rsidR="005E1F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ulaşılabilir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hedeflerle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revize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yaklaşım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878CFC7" w14:textId="77777777" w:rsidR="005E1F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ayarlanabilir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kısıtlaması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3DC7D29F" w14:textId="77777777" w:rsidR="005E1F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yaklaşım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arayarak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ayarlamaktan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çaresi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kaçınılmaz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belirlemektir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E7E29F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EDC4D5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A4D568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9BA8D5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4.-Bir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bütçesi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senaryolar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7A8DA1A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hanehalkı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ekonomisindeki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girişler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çıkışlar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3C418C5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eşleşirse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F72B0A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yeni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varlıklar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varlıkların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artırmak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yükümlülükleri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azaltmak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93AE092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karşılanması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yaratılır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2C614E3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Miras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servetin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azalmasına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1C05C2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borçluluğunda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Borçluluktaki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(lar)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taahhüdünün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15AD47" w14:textId="77777777" w:rsidR="005E1F39" w:rsidRDefault="005E1F39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A579C5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kaldırabiliriz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B3D79E0" w14:textId="77777777" w:rsidR="005E1F39" w:rsidRDefault="005E1F39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92ADD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36E4BBB" w14:textId="77777777" w:rsidR="005E1F39" w:rsidRDefault="00000000">
            <w:pPr>
              <w:spacing w:before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istisnai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ihtiyaçlarla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rezervler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oluşturmak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5C30E8" w14:textId="77777777" w:rsidR="005E1F39" w:rsidRDefault="005E1F39">
            <w:pPr>
              <w:spacing w:before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CD044D" w14:textId="77777777" w:rsidR="005E1F39" w:rsidRDefault="005E1F3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2AFDE1" w14:textId="77777777" w:rsidR="005E1F39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 İyi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izlenecek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kurallar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005A569E" w14:textId="77777777" w:rsidR="005E1F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yönergeler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4B98F84" w14:textId="77777777" w:rsidR="005E1F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mümkün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kapsamalıdır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DC3838F" w14:textId="77777777" w:rsidR="005E1F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Günlük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harcadığımızı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09AED8C" w14:textId="77777777" w:rsidR="005E1F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Tekrarlayan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harcamalarımızdan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olmadığını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listesini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listesini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oluşturun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980393" w14:textId="77777777" w:rsidR="005E1F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geçinmek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uğraşıyorsak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gelirimizi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artırmanın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yollarını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arayabilir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kombinasyonunu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azaltmak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zorunda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kalacağız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CCE17EF" w14:textId="77777777" w:rsidR="005E1F39" w:rsidRDefault="005E1F3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791D7E" w14:textId="77777777" w:rsidR="005E1F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araba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varlıkların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karşılamanız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gerektiğinde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normal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karşılanamaması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varsayılarak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amaçla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mantıklıdır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yararlanma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mantıklıdır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değiştirilmesi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öğenin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mantıklı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6D3362" w14:textId="77777777" w:rsidR="005E1F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hem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hedefler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harcamalarınızın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parçası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araba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seyahat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çocuklarınızın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eğitimi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14:paraId="2658EA74" w14:textId="77777777" w:rsidR="005E1F39" w:rsidRDefault="005E1F3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F39" w14:paraId="361C7B41" w14:textId="77777777" w:rsidTr="00F708EB">
        <w:trPr>
          <w:trHeight w:val="127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6C12C08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Kavramlar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Ana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Kavram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FF00" w14:textId="77777777" w:rsidR="005E1F3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ütçe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bütçesi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içindeki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giderlerini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organize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rakamlarla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özetleyen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belgedir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2BDA9E0" w14:textId="77777777" w:rsidR="005E1F39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Birikim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aslında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işvereniniz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tahsilat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perakendeci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12AA80D" w14:textId="77777777" w:rsidR="005E1F39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teslim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yükümlülüğünün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fiziksel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teslim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C7DE4FA" w14:textId="77777777" w:rsidR="005E1F39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denge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çakıştığında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C604AB" w14:textId="77777777" w:rsidR="005E1F39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sürdürülebilirlik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BADD04A" w14:textId="77777777" w:rsidR="005E1F39" w:rsidRDefault="005E1F3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E1F39" w14:paraId="31A9D4DD" w14:textId="77777777" w:rsidTr="00F708EB">
        <w:trPr>
          <w:trHeight w:val="41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DB13451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Öz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soru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11D" w14:textId="77777777" w:rsidR="005E1F3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yapmalıyım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D046868" w14:textId="77777777" w:rsidR="005E1F39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sürdürülebilir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varlıklara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D266ACC" w14:textId="77777777" w:rsidR="005E1F39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DBE841" w14:textId="77777777" w:rsidR="005E1F39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arayın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069DEC7" w14:textId="77777777" w:rsidR="005E1F39" w:rsidRDefault="005E1F3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9457FB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FFE9F0" w14:textId="77777777" w:rsidR="005E1F3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sorunum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var:</w:t>
            </w:r>
          </w:p>
          <w:p w14:paraId="1DBE670B" w14:textId="77777777" w:rsidR="005E1F39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uyuşmuyorsa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C83D615" w14:textId="77777777" w:rsidR="005E1F39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olağanüstü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karşılanıyorsa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8B8A93C" w14:textId="77777777" w:rsidR="005E1F39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Yukarıdakilerin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41592F" w14:textId="77777777" w:rsidR="005E1F39" w:rsidRDefault="005E1F3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07399D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53A1833" w14:textId="77777777" w:rsidR="005E1F39" w:rsidRDefault="00000000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</w:t>
            </w:r>
            <w:proofErr w:type="spellStart"/>
            <w:r>
              <w:t>Vergiler</w:t>
            </w:r>
            <w:proofErr w:type="spellEnd"/>
            <w:r>
              <w:t xml:space="preserve"> </w:t>
            </w:r>
            <w:proofErr w:type="spellStart"/>
            <w:r>
              <w:t>şöyle</w:t>
            </w:r>
            <w:proofErr w:type="spellEnd"/>
            <w:r>
              <w:t xml:space="preserve"> </w:t>
            </w:r>
            <w:proofErr w:type="spellStart"/>
            <w:r>
              <w:t>olurdu</w:t>
            </w:r>
            <w:proofErr w:type="spellEnd"/>
            <w:r>
              <w:t>:</w:t>
            </w:r>
          </w:p>
          <w:p w14:paraId="10BF200A" w14:textId="77777777" w:rsidR="005E1F39" w:rsidRDefault="00000000">
            <w:pPr>
              <w:numPr>
                <w:ilvl w:val="0"/>
                <w:numId w:val="13"/>
              </w:numPr>
            </w:pPr>
            <w:proofErr w:type="spellStart"/>
            <w:r>
              <w:t>Gelir</w:t>
            </w:r>
            <w:proofErr w:type="spellEnd"/>
            <w:r>
              <w:t>.</w:t>
            </w:r>
          </w:p>
          <w:p w14:paraId="0F3CEC5D" w14:textId="77777777" w:rsidR="005E1F39" w:rsidRDefault="00000000">
            <w:pPr>
              <w:numPr>
                <w:ilvl w:val="0"/>
                <w:numId w:val="13"/>
              </w:numPr>
            </w:pPr>
            <w:proofErr w:type="spellStart"/>
            <w:r>
              <w:t>Gider</w:t>
            </w:r>
            <w:proofErr w:type="spellEnd"/>
            <w:r>
              <w:t>.</w:t>
            </w:r>
          </w:p>
          <w:p w14:paraId="2F445F43" w14:textId="77777777" w:rsidR="005E1F39" w:rsidRDefault="00000000">
            <w:pPr>
              <w:numPr>
                <w:ilvl w:val="0"/>
                <w:numId w:val="13"/>
              </w:numPr>
            </w:pPr>
            <w:proofErr w:type="spellStart"/>
            <w:r>
              <w:t>Yukarıdakilerin</w:t>
            </w:r>
            <w:proofErr w:type="spellEnd"/>
            <w:r>
              <w:t xml:space="preserve"> </w:t>
            </w:r>
            <w:proofErr w:type="spellStart"/>
            <w:r>
              <w:t>hiçbiri</w:t>
            </w:r>
            <w:proofErr w:type="spellEnd"/>
            <w:r>
              <w:t>.</w:t>
            </w:r>
          </w:p>
          <w:p w14:paraId="6D075F02" w14:textId="77777777" w:rsidR="005E1F39" w:rsidRDefault="005E1F39"/>
          <w:p w14:paraId="4ED4CF7B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  <w:highlight w:val="red"/>
              </w:rPr>
            </w:pPr>
          </w:p>
          <w:p w14:paraId="55286FFC" w14:textId="77777777" w:rsidR="005E1F3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4.-Maaş:</w:t>
            </w:r>
          </w:p>
          <w:p w14:paraId="0B5CE945" w14:textId="77777777" w:rsidR="005E1F39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6DC3ED" w14:textId="77777777" w:rsidR="005E1F39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C0215FE" w14:textId="77777777" w:rsidR="005E1F39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128246" w14:textId="77777777" w:rsidR="005E1F39" w:rsidRDefault="005E1F3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1C7877" w14:textId="77777777" w:rsidR="005E1F39" w:rsidRDefault="005E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  <w:highlight w:val="red"/>
              </w:rPr>
            </w:pPr>
          </w:p>
          <w:p w14:paraId="4B46608B" w14:textId="77777777" w:rsidR="005E1F3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kısıtlaması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5F2A33D" w14:textId="77777777" w:rsidR="005E1F39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harcanabilecek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86D46D5" w14:textId="77777777" w:rsidR="005E1F39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34333E5" w14:textId="77777777" w:rsidR="005E1F39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fark.</w:t>
            </w:r>
          </w:p>
          <w:p w14:paraId="442A9BDA" w14:textId="77777777" w:rsidR="005E1F39" w:rsidRDefault="005E1F3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F39" w14:paraId="1EFA2397" w14:textId="77777777" w:rsidTr="00F708EB">
        <w:trPr>
          <w:trHeight w:val="121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B57E485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Kaynakça</w:t>
            </w:r>
            <w:proofErr w:type="spellEnd"/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209" w14:textId="77777777" w:rsidR="005E1F3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https://www.edufinet.com/inicio/presupuesto-familiar</w:t>
              </w:r>
            </w:hyperlink>
          </w:p>
          <w:p w14:paraId="0E48D671" w14:textId="77777777" w:rsidR="005E1F39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https://www.edufinet.com/inicio/presupuesto-familiar/presupuesto-familiar</w:t>
              </w:r>
            </w:hyperlink>
          </w:p>
          <w:p w14:paraId="1B57785B" w14:textId="77777777" w:rsidR="005E1F3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https://www.finanzasparatodos.es/herramientas/mipresupuesto</w:t>
              </w:r>
            </w:hyperlink>
          </w:p>
          <w:p w14:paraId="05B10398" w14:textId="77777777" w:rsidR="005E1F3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https://www.elclubdeinversion.com/presupuesto-familiar/</w:t>
              </w:r>
            </w:hyperlink>
          </w:p>
          <w:p w14:paraId="72E38B19" w14:textId="77777777" w:rsidR="005E1F3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https://www.santander.com/es/stories/pasos-para-elaborar-un-presupuesto-familiar-a-medida</w:t>
              </w:r>
            </w:hyperlink>
          </w:p>
          <w:p w14:paraId="1E5C36B8" w14:textId="77777777" w:rsidR="005E1F39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52ABF567" w14:textId="77777777" w:rsidR="005E1F39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29F251FA" w14:textId="77777777" w:rsidR="005E1F39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503FAA54" w14:textId="77777777" w:rsidR="005E1F39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35762F6F" w14:textId="77777777" w:rsidR="005E1F39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120683C7" w14:textId="77777777" w:rsidR="005E1F39" w:rsidRDefault="00000000">
            <w:pPr>
              <w:numPr>
                <w:ilvl w:val="0"/>
                <w:numId w:val="5"/>
              </w:num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</w:tc>
      </w:tr>
      <w:tr w:rsidR="005E1F39" w14:paraId="760935E6" w14:textId="77777777" w:rsidTr="00F708EB">
        <w:trPr>
          <w:trHeight w:val="138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D341777" w14:textId="77777777" w:rsidR="005E1F3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Kaynaklar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, video)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899" w14:textId="77777777" w:rsidR="005E1F39" w:rsidRDefault="005E1F39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5A659D1B" w14:textId="77777777" w:rsidR="005E1F39" w:rsidRDefault="005E1F39">
      <w:pPr>
        <w:shd w:val="clear" w:color="auto" w:fill="FFFFFF"/>
      </w:pPr>
    </w:p>
    <w:sectPr w:rsidR="005E1F39">
      <w:headerReference w:type="default" r:id="rId18"/>
      <w:footerReference w:type="default" r:id="rId19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872A" w14:textId="77777777" w:rsidR="00040D34" w:rsidRDefault="00040D34">
      <w:r>
        <w:separator/>
      </w:r>
    </w:p>
  </w:endnote>
  <w:endnote w:type="continuationSeparator" w:id="0">
    <w:p w14:paraId="5A4E00A4" w14:textId="77777777" w:rsidR="00040D34" w:rsidRDefault="000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43E7" w14:textId="09CCAF68" w:rsidR="005E1F39" w:rsidRPr="00F708EB" w:rsidRDefault="00F708EB" w:rsidP="00F708EB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71F1EA" wp14:editId="2F2B1514">
              <wp:simplePos x="0" y="0"/>
              <wp:positionH relativeFrom="page">
                <wp:posOffset>-5080</wp:posOffset>
              </wp:positionH>
              <wp:positionV relativeFrom="page">
                <wp:posOffset>10044734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5678C" w14:textId="77777777" w:rsidR="00F708EB" w:rsidRDefault="00F708EB" w:rsidP="00F708E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C522DF0" w14:textId="77777777" w:rsidR="00F708EB" w:rsidRDefault="00F708EB" w:rsidP="00F708EB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27B9465A" w14:textId="77777777" w:rsidR="00F708EB" w:rsidRPr="00D1334F" w:rsidRDefault="00F708EB" w:rsidP="00F708EB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1F1EA" id="Grupo 4" o:spid="_x0000_s1026" style="position:absolute;margin-left:-.4pt;margin-top:790.9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AB5678C" w14:textId="77777777" w:rsidR="00F708EB" w:rsidRDefault="00F708EB" w:rsidP="00F708EB">
                      <w:pPr>
                        <w:rPr>
                          <w:sz w:val="14"/>
                        </w:rPr>
                      </w:pPr>
                    </w:p>
                    <w:p w14:paraId="6C522DF0" w14:textId="77777777" w:rsidR="00F708EB" w:rsidRDefault="00F708EB" w:rsidP="00F708EB">
                      <w:pPr>
                        <w:rPr>
                          <w:sz w:val="15"/>
                        </w:rPr>
                      </w:pPr>
                    </w:p>
                    <w:p w14:paraId="27B9465A" w14:textId="77777777" w:rsidR="00F708EB" w:rsidRPr="00D1334F" w:rsidRDefault="00F708EB" w:rsidP="00F708EB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F547" w14:textId="77777777" w:rsidR="00040D34" w:rsidRDefault="00040D34">
      <w:r>
        <w:separator/>
      </w:r>
    </w:p>
  </w:footnote>
  <w:footnote w:type="continuationSeparator" w:id="0">
    <w:p w14:paraId="67D73167" w14:textId="77777777" w:rsidR="00040D34" w:rsidRDefault="0004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1BC6" w14:textId="77777777" w:rsidR="005E1F39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2C4C19CB" wp14:editId="7E863DCF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415D76" w14:textId="77777777" w:rsidR="005E1F39" w:rsidRDefault="005E1F39"/>
  <w:p w14:paraId="3FAB4C50" w14:textId="77777777" w:rsidR="005E1F39" w:rsidRDefault="005E1F39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299B67BD" w14:textId="77777777" w:rsidR="005E1F39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49E78CDC" w14:textId="77777777" w:rsidR="005E1F39" w:rsidRDefault="005E1F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E0E"/>
    <w:multiLevelType w:val="multilevel"/>
    <w:tmpl w:val="A502D6E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26F8E"/>
    <w:multiLevelType w:val="multilevel"/>
    <w:tmpl w:val="F5B0E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A0226F"/>
    <w:multiLevelType w:val="multilevel"/>
    <w:tmpl w:val="8B325E14"/>
    <w:lvl w:ilvl="0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256881"/>
    <w:multiLevelType w:val="multilevel"/>
    <w:tmpl w:val="D7B2448C"/>
    <w:lvl w:ilvl="0">
      <w:numFmt w:val="bullet"/>
      <w:lvlText w:val="-"/>
      <w:lvlJc w:val="left"/>
      <w:pPr>
        <w:ind w:left="65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000583"/>
    <w:multiLevelType w:val="multilevel"/>
    <w:tmpl w:val="358A49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EB02F9"/>
    <w:multiLevelType w:val="multilevel"/>
    <w:tmpl w:val="7B249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511AB5"/>
    <w:multiLevelType w:val="multilevel"/>
    <w:tmpl w:val="9AAEB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B167B8"/>
    <w:multiLevelType w:val="multilevel"/>
    <w:tmpl w:val="783C22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16058C"/>
    <w:multiLevelType w:val="multilevel"/>
    <w:tmpl w:val="D456A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4F14667"/>
    <w:multiLevelType w:val="multilevel"/>
    <w:tmpl w:val="2640E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411B"/>
    <w:multiLevelType w:val="multilevel"/>
    <w:tmpl w:val="F168A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736EA1"/>
    <w:multiLevelType w:val="multilevel"/>
    <w:tmpl w:val="C172CDD0"/>
    <w:lvl w:ilvl="0">
      <w:numFmt w:val="bullet"/>
      <w:lvlText w:val="-"/>
      <w:lvlJc w:val="left"/>
      <w:pPr>
        <w:ind w:left="65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EE5D7E"/>
    <w:multiLevelType w:val="multilevel"/>
    <w:tmpl w:val="DC02B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9569565">
    <w:abstractNumId w:val="10"/>
  </w:num>
  <w:num w:numId="2" w16cid:durableId="904490564">
    <w:abstractNumId w:val="11"/>
  </w:num>
  <w:num w:numId="3" w16cid:durableId="1710642189">
    <w:abstractNumId w:val="3"/>
  </w:num>
  <w:num w:numId="4" w16cid:durableId="1278174256">
    <w:abstractNumId w:val="4"/>
  </w:num>
  <w:num w:numId="5" w16cid:durableId="1227112571">
    <w:abstractNumId w:val="0"/>
  </w:num>
  <w:num w:numId="6" w16cid:durableId="837303581">
    <w:abstractNumId w:val="8"/>
  </w:num>
  <w:num w:numId="7" w16cid:durableId="1313414330">
    <w:abstractNumId w:val="1"/>
  </w:num>
  <w:num w:numId="8" w16cid:durableId="718170488">
    <w:abstractNumId w:val="6"/>
  </w:num>
  <w:num w:numId="9" w16cid:durableId="462776397">
    <w:abstractNumId w:val="12"/>
  </w:num>
  <w:num w:numId="10" w16cid:durableId="1159804686">
    <w:abstractNumId w:val="2"/>
  </w:num>
  <w:num w:numId="11" w16cid:durableId="39325563">
    <w:abstractNumId w:val="9"/>
  </w:num>
  <w:num w:numId="12" w16cid:durableId="2105808111">
    <w:abstractNumId w:val="7"/>
  </w:num>
  <w:num w:numId="13" w16cid:durableId="836506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39"/>
    <w:rsid w:val="00040D34"/>
    <w:rsid w:val="005E1F39"/>
    <w:rsid w:val="00F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AF0"/>
  <w15:docId w15:val="{88187973-C785-435B-B65F-4DA7326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paragraph" w:styleId="Revisin">
    <w:name w:val="Revision"/>
    <w:hidden/>
    <w:uiPriority w:val="99"/>
    <w:semiHidden/>
    <w:rsid w:val="00090C78"/>
    <w:pPr>
      <w:widowControl/>
    </w:pPr>
    <w:rPr>
      <w:rFonts w:ascii="Microsoft Sans Serif" w:eastAsia="Microsoft Sans Serif" w:hAnsi="Microsoft Sans Serif" w:cs="Microsoft Sans Seri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CB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finet.com/inicio/presupuesto-familiar" TargetMode="External"/><Relationship Id="rId13" Type="http://schemas.openxmlformats.org/officeDocument/2006/relationships/hyperlink" Target="https://www.investopedia.com/guide-to-financial-literacy-480053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antander.com/es/stories/pasos-para-elaborar-un-presupuesto-familiar-a-medida" TargetMode="External"/><Relationship Id="rId17" Type="http://schemas.openxmlformats.org/officeDocument/2006/relationships/hyperlink" Target="https://www.rockethq.com/lea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sonbankin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clubdeinversion.com/presupuesto-famili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zai.org/" TargetMode="External"/><Relationship Id="rId10" Type="http://schemas.openxmlformats.org/officeDocument/2006/relationships/hyperlink" Target="https://www.finanzasparatodos.es/herramientas/mipresupuest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finet.com/inicio/presupuesto-familiar/presupuesto-familiar" TargetMode="External"/><Relationship Id="rId14" Type="http://schemas.openxmlformats.org/officeDocument/2006/relationships/hyperlink" Target="https://economictimes.indiatimes.com/defini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Myd0yOW+Vs8ldqxERtc1hmabXg==">AMUW2mW2GcgZfAdCmPgCZCpQEwsJt9fjkpLFG+NxTfJtNrlWZAmlIZqXfQJP47dWmKewCVfey/i+GYgogFWZ8WdBMXHaFW4uJaPEAKSWLAihRMJgoOKbGf6lz9osEL2Iq9IEsTn4GPnC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2022-11-26T10:26:00Z</dcterms:created>
  <dcterms:modified xsi:type="dcterms:W3CDTF">2023-03-08T14:58:00Z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0x010100E18C58DAEF98F240A808637414C29BE4</vt:lpwstr>
  </property>
</Properties>
</file>